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поточного стану довкілля, у тому числі здоров</w:t>
            </w:r>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bookmarkStart w:id="0" w:name="_GoBack"/>
            <w:bookmarkEnd w:id="0"/>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F07CB6">
              <w:rPr>
                <w:sz w:val="24"/>
                <w:szCs w:val="24"/>
              </w:rPr>
              <w:t>’</w:t>
            </w:r>
            <w:r w:rsidRPr="00F07CB6">
              <w:rPr>
                <w:sz w:val="24"/>
                <w:szCs w:val="24"/>
                <w:lang w:val="uk-UA"/>
              </w:rPr>
              <w:t>язань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4D0B62" w:rsidP="00F25717">
            <w:pPr>
              <w:pStyle w:val="a4"/>
              <w:spacing w:line="276" w:lineRule="auto"/>
              <w:ind w:left="0"/>
              <w:jc w:val="both"/>
              <w:rPr>
                <w:sz w:val="24"/>
                <w:szCs w:val="24"/>
                <w:lang w:val="uk-UA"/>
              </w:rPr>
            </w:pPr>
            <w:r>
              <w:rPr>
                <w:sz w:val="24"/>
                <w:szCs w:val="24"/>
                <w:lang w:val="uk-UA"/>
              </w:rPr>
              <w:t>17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4D0B62" w:rsidP="00F25717">
            <w:pPr>
              <w:pStyle w:val="a4"/>
              <w:spacing w:line="276" w:lineRule="auto"/>
              <w:ind w:left="0"/>
              <w:jc w:val="both"/>
              <w:rPr>
                <w:sz w:val="24"/>
                <w:szCs w:val="24"/>
                <w:lang w:val="uk-UA"/>
              </w:rPr>
            </w:pPr>
            <w:r>
              <w:rPr>
                <w:sz w:val="24"/>
                <w:szCs w:val="24"/>
                <w:lang w:val="uk-UA"/>
              </w:rPr>
              <w:t>1</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D0B62" w:rsidP="00F25717">
            <w:pPr>
              <w:pStyle w:val="a4"/>
              <w:spacing w:line="276" w:lineRule="auto"/>
              <w:ind w:left="0"/>
              <w:jc w:val="both"/>
              <w:rPr>
                <w:sz w:val="24"/>
                <w:szCs w:val="24"/>
                <w:lang w:val="uk-UA"/>
              </w:rPr>
            </w:pPr>
            <w:r>
              <w:rPr>
                <w:sz w:val="24"/>
                <w:szCs w:val="24"/>
                <w:lang w:val="uk-UA"/>
              </w:rPr>
              <w:t>20</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D0B62"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D0B62"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D0B62"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4D0B62"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4D0B62" w:rsidP="00F25717">
            <w:pPr>
              <w:pStyle w:val="a4"/>
              <w:spacing w:line="276" w:lineRule="auto"/>
              <w:ind w:left="0"/>
              <w:jc w:val="both"/>
              <w:rPr>
                <w:sz w:val="24"/>
                <w:szCs w:val="24"/>
                <w:lang w:val="uk-UA"/>
              </w:rPr>
            </w:pPr>
            <w:r>
              <w:rPr>
                <w:sz w:val="24"/>
                <w:szCs w:val="24"/>
                <w:lang w:val="uk-UA"/>
              </w:rPr>
              <w:t>25</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1" w:name="_Toc75681"/>
      <w:r w:rsidRPr="00F07CB6">
        <w:rPr>
          <w:b/>
          <w:szCs w:val="24"/>
          <w:lang w:val="uk-UA"/>
        </w:rPr>
        <w:lastRenderedPageBreak/>
        <w:t>Передмова</w:t>
      </w:r>
      <w:bookmarkEnd w:id="1"/>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32122B">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w:t>
      </w:r>
      <w:r w:rsidR="0032122B">
        <w:rPr>
          <w:sz w:val="24"/>
          <w:szCs w:val="24"/>
          <w:lang w:val="uk-UA"/>
        </w:rPr>
        <w:t xml:space="preserve"> </w:t>
      </w:r>
      <w:r w:rsidR="0032122B" w:rsidRPr="00F07CB6">
        <w:rPr>
          <w:sz w:val="24"/>
          <w:szCs w:val="24"/>
          <w:lang w:val="uk-UA"/>
        </w:rPr>
        <w:t>оцінка</w:t>
      </w:r>
      <w:r w:rsidR="00845988">
        <w:rPr>
          <w:sz w:val="24"/>
          <w:szCs w:val="24"/>
          <w:lang w:val="uk-UA"/>
        </w:rPr>
        <w:t xml:space="preserve"> </w:t>
      </w:r>
      <w:r w:rsidR="00D94D45" w:rsidRPr="00D94D45">
        <w:rPr>
          <w:sz w:val="24"/>
          <w:szCs w:val="24"/>
          <w:lang w:val="uk-UA"/>
        </w:rPr>
        <w:t>«</w:t>
      </w:r>
      <w:r w:rsidR="00D94D45" w:rsidRPr="00D94D45">
        <w:rPr>
          <w:rFonts w:eastAsia="Calibri"/>
          <w:color w:val="000000"/>
          <w:sz w:val="24"/>
          <w:szCs w:val="24"/>
          <w:lang w:val="uk-UA" w:eastAsia="uk-UA"/>
        </w:rPr>
        <w:t>Проекту детального планування території на вулиці Окружна орієнтовною площею 0,4500 га (для будівництва виробничо-складських приміщень)</w:t>
      </w:r>
      <w:r w:rsidR="00D94D45" w:rsidRPr="00D94D45">
        <w:rPr>
          <w:sz w:val="24"/>
          <w:szCs w:val="24"/>
          <w:lang w:val="uk-UA"/>
        </w:rPr>
        <w:t xml:space="preserve">» </w:t>
      </w:r>
      <w:r w:rsidR="00811BA4" w:rsidRPr="00D94D45">
        <w:rPr>
          <w:sz w:val="24"/>
          <w:szCs w:val="24"/>
          <w:lang w:val="uk-UA"/>
        </w:rPr>
        <w:t xml:space="preserve"> </w:t>
      </w:r>
      <w:r w:rsidR="0032122B">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2"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3"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4"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4"/>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Міприроди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Pr="00D94D45" w:rsidRDefault="00DF7115" w:rsidP="00811BA4">
      <w:pPr>
        <w:pStyle w:val="21"/>
        <w:spacing w:line="276" w:lineRule="auto"/>
        <w:ind w:left="-567" w:right="-426" w:firstLine="709"/>
        <w:jc w:val="both"/>
        <w:rPr>
          <w:sz w:val="24"/>
          <w:szCs w:val="24"/>
          <w:lang w:val="uk-UA"/>
        </w:rPr>
      </w:pPr>
      <w:bookmarkStart w:id="5"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 xml:space="preserve">передбачено </w:t>
      </w:r>
      <w:r w:rsidR="00D94D45" w:rsidRPr="00B73C1C">
        <w:rPr>
          <w:szCs w:val="28"/>
          <w:lang w:val="uk-UA"/>
        </w:rPr>
        <w:t xml:space="preserve"> </w:t>
      </w:r>
      <w:r w:rsidR="00D94D45" w:rsidRPr="00D94D45">
        <w:rPr>
          <w:sz w:val="24"/>
          <w:szCs w:val="24"/>
          <w:lang w:val="uk-UA"/>
        </w:rPr>
        <w:t xml:space="preserve">будівництво складських та офісних приміщень, станції технічного обслуговування ( не більше 6 постів) та виробничої будівлі </w:t>
      </w:r>
      <w:r w:rsidR="00D94D45" w:rsidRPr="00D94D45">
        <w:rPr>
          <w:color w:val="212529"/>
          <w:sz w:val="24"/>
          <w:szCs w:val="24"/>
          <w:shd w:val="clear" w:color="auto" w:fill="FFFFFF"/>
          <w:lang w:val="uk-UA"/>
        </w:rPr>
        <w:t>підприємства металообробної промисловості з   термічною обробкою без ливарень</w:t>
      </w:r>
      <w:r w:rsidR="00D94D45" w:rsidRPr="00D94D45">
        <w:rPr>
          <w:sz w:val="24"/>
          <w:szCs w:val="24"/>
          <w:lang w:val="uk-UA"/>
        </w:rPr>
        <w:t>.</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5"/>
    </w:p>
    <w:p w:rsidR="0032122B" w:rsidRDefault="00E2372C" w:rsidP="0032122B">
      <w:pPr>
        <w:pStyle w:val="a9"/>
        <w:spacing w:after="0" w:line="276" w:lineRule="auto"/>
        <w:ind w:left="-567" w:right="-426" w:firstLine="709"/>
        <w:jc w:val="both"/>
        <w:rPr>
          <w:bCs/>
          <w:sz w:val="24"/>
          <w:szCs w:val="24"/>
          <w:lang w:val="uk-UA"/>
        </w:rPr>
      </w:pPr>
      <w:r>
        <w:rPr>
          <w:bCs/>
          <w:sz w:val="24"/>
          <w:szCs w:val="24"/>
          <w:lang w:val="uk-UA"/>
        </w:rPr>
        <w:t xml:space="preserve">Проектний план розроблений в межах охоплених топографічною зйомкою </w:t>
      </w:r>
      <w:r w:rsidR="0032122B" w:rsidRPr="0032122B">
        <w:rPr>
          <w:bCs/>
          <w:sz w:val="24"/>
          <w:szCs w:val="24"/>
          <w:lang w:val="uk-UA"/>
        </w:rPr>
        <w:t xml:space="preserve"> вул. Окружн</w:t>
      </w:r>
      <w:r w:rsidR="00D94D45">
        <w:rPr>
          <w:bCs/>
          <w:sz w:val="24"/>
          <w:szCs w:val="24"/>
          <w:lang w:val="uk-UA"/>
        </w:rPr>
        <w:t xml:space="preserve">а </w:t>
      </w:r>
      <w:r w:rsidR="0032122B">
        <w:rPr>
          <w:bCs/>
          <w:sz w:val="24"/>
          <w:szCs w:val="24"/>
          <w:lang w:val="uk-UA"/>
        </w:rPr>
        <w:t xml:space="preserve">в </w:t>
      </w:r>
      <w:r w:rsidR="00D94D45">
        <w:rPr>
          <w:bCs/>
          <w:sz w:val="24"/>
          <w:szCs w:val="24"/>
          <w:lang w:val="uk-UA"/>
        </w:rPr>
        <w:t xml:space="preserve">м. </w:t>
      </w:r>
      <w:r w:rsidR="0032122B" w:rsidRPr="0032122B">
        <w:rPr>
          <w:bCs/>
          <w:sz w:val="24"/>
          <w:szCs w:val="24"/>
          <w:lang w:val="uk-UA"/>
        </w:rPr>
        <w:t>Калуші.</w:t>
      </w:r>
    </w:p>
    <w:p w:rsidR="00DF7115" w:rsidRDefault="00DF7115" w:rsidP="00D94D45">
      <w:pPr>
        <w:pStyle w:val="a9"/>
        <w:spacing w:after="0" w:line="276" w:lineRule="auto"/>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D94D45" w:rsidRPr="00D94D45" w:rsidRDefault="00D94D45" w:rsidP="00D94D45">
      <w:pPr>
        <w:ind w:left="-567" w:right="-426" w:firstLine="709"/>
        <w:jc w:val="both"/>
        <w:rPr>
          <w:sz w:val="24"/>
          <w:szCs w:val="24"/>
          <w:lang w:val="uk-UA"/>
        </w:rPr>
      </w:pPr>
      <w:r w:rsidRPr="00D94D45">
        <w:rPr>
          <w:sz w:val="24"/>
          <w:szCs w:val="24"/>
          <w:lang w:val="uk-UA"/>
        </w:rPr>
        <w:t xml:space="preserve">Земельна ділянка, площею 0,3800 га розташована на вулиці Окружна в м. Калуші, Івано-Франківської області. </w:t>
      </w:r>
    </w:p>
    <w:p w:rsidR="00D94D45" w:rsidRPr="00D94D45" w:rsidRDefault="00D94D45" w:rsidP="00D94D45">
      <w:pPr>
        <w:ind w:left="-567" w:right="-426" w:firstLine="709"/>
        <w:jc w:val="both"/>
        <w:rPr>
          <w:sz w:val="24"/>
          <w:szCs w:val="24"/>
          <w:lang w:val="uk-UA"/>
        </w:rPr>
      </w:pPr>
      <w:r w:rsidRPr="00D94D45">
        <w:rPr>
          <w:sz w:val="24"/>
          <w:szCs w:val="24"/>
          <w:lang w:val="uk-UA"/>
        </w:rPr>
        <w:t>Цільове призначення – (</w:t>
      </w:r>
      <w:r w:rsidRPr="00D94D45">
        <w:rPr>
          <w:sz w:val="24"/>
          <w:szCs w:val="24"/>
          <w:shd w:val="clear" w:color="auto" w:fill="FFFFFF"/>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розміщення та експлуатації та експлуатації виробничих приміщень.</w:t>
      </w:r>
    </w:p>
    <w:p w:rsidR="00D94D45" w:rsidRPr="00D94D45" w:rsidRDefault="00D94D45" w:rsidP="00D94D45">
      <w:pPr>
        <w:ind w:left="-567" w:right="-426" w:firstLine="709"/>
        <w:jc w:val="both"/>
        <w:rPr>
          <w:sz w:val="24"/>
          <w:szCs w:val="24"/>
          <w:lang w:val="uk-UA"/>
        </w:rPr>
      </w:pPr>
      <w:r w:rsidRPr="00D94D45">
        <w:rPr>
          <w:sz w:val="24"/>
          <w:szCs w:val="24"/>
          <w:lang w:val="uk-UA"/>
        </w:rPr>
        <w:t>Ділянка межує:</w:t>
      </w:r>
    </w:p>
    <w:p w:rsidR="00D94D45" w:rsidRPr="00D94D45" w:rsidRDefault="00D94D45" w:rsidP="00D94D45">
      <w:pPr>
        <w:ind w:left="-567" w:right="-426" w:firstLine="709"/>
        <w:jc w:val="both"/>
        <w:rPr>
          <w:sz w:val="24"/>
          <w:szCs w:val="24"/>
          <w:lang w:val="uk-UA"/>
        </w:rPr>
      </w:pPr>
      <w:r w:rsidRPr="00D94D45">
        <w:rPr>
          <w:sz w:val="24"/>
          <w:szCs w:val="24"/>
          <w:lang w:val="uk-UA"/>
        </w:rPr>
        <w:t>З північно-східної сторони – з земельною ділянкою (</w:t>
      </w:r>
      <w:r w:rsidRPr="00D94D45">
        <w:rPr>
          <w:sz w:val="24"/>
          <w:szCs w:val="24"/>
          <w:shd w:val="clear" w:color="auto" w:fill="FFFFFF"/>
          <w:lang w:val="uk-UA"/>
        </w:rPr>
        <w:t>03.07) для будівництва та обслуговування будівель торгівлі для будівництва офісно-складських приміщень, з північно-західної сторони – з землями запасу Калуської міської ради, з південної сторони – з земельною ділянкою (14.01) Для розміщення, будівництва, експлуатації та обслуговування будівель і споруд об'єктів енергогенеруючих підприємств, установ і організацій для обслуговування бази РЕМ, з південно-західної сторони – з дорогою загального користування вулиці Окружна.</w:t>
      </w:r>
    </w:p>
    <w:p w:rsidR="00D94D45" w:rsidRPr="00D94D45" w:rsidRDefault="00D94D45" w:rsidP="00D94D45">
      <w:pPr>
        <w:ind w:left="-567" w:right="-426" w:firstLine="709"/>
        <w:jc w:val="both"/>
        <w:rPr>
          <w:sz w:val="24"/>
          <w:szCs w:val="24"/>
          <w:lang w:val="uk-UA"/>
        </w:rPr>
      </w:pPr>
      <w:r w:rsidRPr="00D94D45">
        <w:rPr>
          <w:sz w:val="24"/>
          <w:szCs w:val="24"/>
          <w:lang w:val="uk-UA"/>
        </w:rPr>
        <w:t>Рельєф рівнинний по всій довжині ділянки.</w:t>
      </w:r>
    </w:p>
    <w:p w:rsidR="00D94D45" w:rsidRPr="00D94D45" w:rsidRDefault="00D94D45" w:rsidP="00D94D45">
      <w:pPr>
        <w:ind w:left="-567" w:firstLine="709"/>
        <w:jc w:val="both"/>
        <w:rPr>
          <w:sz w:val="24"/>
          <w:szCs w:val="24"/>
          <w:lang w:val="uk-UA"/>
        </w:rPr>
      </w:pPr>
      <w:r w:rsidRPr="00D94D45">
        <w:rPr>
          <w:sz w:val="24"/>
          <w:szCs w:val="24"/>
          <w:lang w:val="uk-UA"/>
        </w:rPr>
        <w:lastRenderedPageBreak/>
        <w:t xml:space="preserve">Планувальна структура вуличної мережі та пішохідних зав’язків запроектована з врахуванням існуючих інженерно-транспортних мереж. До ділянок  використовується під’їзд з твердого покриття з вулиці Окружна. </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E60438" w:rsidRDefault="00E60438" w:rsidP="00D94D45">
      <w:pPr>
        <w:pStyle w:val="21"/>
        <w:spacing w:line="276" w:lineRule="auto"/>
        <w:ind w:left="-567" w:right="-426" w:firstLine="709"/>
        <w:jc w:val="both"/>
        <w:rPr>
          <w:sz w:val="24"/>
          <w:szCs w:val="24"/>
          <w:lang w:val="uk-UA"/>
        </w:rPr>
      </w:pPr>
      <w:r w:rsidRPr="00E60438">
        <w:rPr>
          <w:sz w:val="24"/>
          <w:szCs w:val="24"/>
          <w:lang w:val="uk-UA"/>
        </w:rPr>
        <w:t>На охопленій проектом детального плану те</w:t>
      </w:r>
      <w:r>
        <w:rPr>
          <w:sz w:val="24"/>
          <w:szCs w:val="24"/>
          <w:lang w:val="uk-UA"/>
        </w:rPr>
        <w:t xml:space="preserve">риторії передбачено будівництво </w:t>
      </w:r>
      <w:r w:rsidR="00D94D45" w:rsidRPr="00D94D45">
        <w:rPr>
          <w:sz w:val="24"/>
          <w:szCs w:val="24"/>
          <w:lang w:val="uk-UA"/>
        </w:rPr>
        <w:t xml:space="preserve">складських та офісних приміщень, станції технічного обслуговування ( не більше 6 постів) та виробничої будівлі </w:t>
      </w:r>
      <w:r w:rsidR="00D94D45" w:rsidRPr="00D94D45">
        <w:rPr>
          <w:color w:val="212529"/>
          <w:sz w:val="24"/>
          <w:szCs w:val="24"/>
          <w:shd w:val="clear" w:color="auto" w:fill="FFFFFF"/>
          <w:lang w:val="uk-UA"/>
        </w:rPr>
        <w:t>підприємства металообробної промисловості з   термічною обробкою без ливарень</w:t>
      </w:r>
      <w:r w:rsidR="00D94D45" w:rsidRPr="00D94D45">
        <w:rPr>
          <w:sz w:val="24"/>
          <w:szCs w:val="24"/>
          <w:lang w:val="uk-UA"/>
        </w:rPr>
        <w:t>.</w:t>
      </w:r>
    </w:p>
    <w:p w:rsidR="00D94D45" w:rsidRPr="00D94D45" w:rsidRDefault="00D94D45" w:rsidP="00D94D45">
      <w:pPr>
        <w:ind w:firstLine="709"/>
        <w:jc w:val="both"/>
        <w:rPr>
          <w:sz w:val="24"/>
          <w:szCs w:val="24"/>
        </w:rPr>
      </w:pPr>
      <w:r w:rsidRPr="00D94D45">
        <w:rPr>
          <w:sz w:val="24"/>
          <w:szCs w:val="24"/>
        </w:rPr>
        <w:t>Основні орієнтовні техніко-економічні показники</w:t>
      </w:r>
      <w:r w:rsidRPr="00D94D45">
        <w:rPr>
          <w:sz w:val="24"/>
          <w:szCs w:val="24"/>
          <w:lang w:val="uk-UA"/>
        </w:rPr>
        <w:t xml:space="preserve"> </w:t>
      </w:r>
      <w:r w:rsidRPr="00D94D45">
        <w:rPr>
          <w:sz w:val="24"/>
          <w:szCs w:val="24"/>
        </w:rPr>
        <w:t>:</w:t>
      </w:r>
    </w:p>
    <w:p w:rsidR="00D94D45" w:rsidRPr="00D94D45" w:rsidRDefault="00D94D45" w:rsidP="00D94D45">
      <w:pPr>
        <w:ind w:firstLine="709"/>
        <w:jc w:val="both"/>
        <w:rPr>
          <w:sz w:val="24"/>
          <w:szCs w:val="24"/>
          <w:lang w:val="uk-UA"/>
        </w:rPr>
      </w:pPr>
      <w:r w:rsidRPr="00D94D45">
        <w:rPr>
          <w:sz w:val="24"/>
          <w:szCs w:val="24"/>
        </w:rPr>
        <w:t>-</w:t>
      </w:r>
      <w:r w:rsidRPr="00D94D45">
        <w:rPr>
          <w:sz w:val="24"/>
          <w:szCs w:val="24"/>
        </w:rPr>
        <w:tab/>
      </w:r>
      <w:r w:rsidRPr="00D94D45">
        <w:rPr>
          <w:sz w:val="24"/>
          <w:szCs w:val="24"/>
          <w:lang w:val="uk-UA"/>
        </w:rPr>
        <w:t>Площа земельної ділянки – 0,3800 га;</w:t>
      </w:r>
    </w:p>
    <w:p w:rsidR="00D94D45" w:rsidRPr="00D94D45" w:rsidRDefault="00D94D45" w:rsidP="00D94D45">
      <w:pPr>
        <w:ind w:firstLine="709"/>
        <w:jc w:val="both"/>
        <w:rPr>
          <w:sz w:val="24"/>
          <w:szCs w:val="24"/>
          <w:lang w:val="uk-UA"/>
        </w:rPr>
      </w:pPr>
      <w:r w:rsidRPr="00D94D45">
        <w:rPr>
          <w:sz w:val="24"/>
          <w:szCs w:val="24"/>
          <w:lang w:val="uk-UA"/>
        </w:rPr>
        <w:t>-        Площа забудови земельної ділянки –</w:t>
      </w:r>
      <w:r w:rsidRPr="00D94D45">
        <w:rPr>
          <w:color w:val="FF0000"/>
          <w:sz w:val="24"/>
          <w:szCs w:val="24"/>
          <w:lang w:val="uk-UA"/>
        </w:rPr>
        <w:t xml:space="preserve"> </w:t>
      </w:r>
      <w:r w:rsidRPr="00D94D45">
        <w:rPr>
          <w:sz w:val="24"/>
          <w:szCs w:val="24"/>
          <w:lang w:val="uk-UA"/>
        </w:rPr>
        <w:t>1536,9 м</w:t>
      </w:r>
      <w:r w:rsidRPr="00D94D45">
        <w:rPr>
          <w:sz w:val="24"/>
          <w:szCs w:val="24"/>
          <w:vertAlign w:val="superscript"/>
          <w:lang w:val="uk-UA"/>
        </w:rPr>
        <w:t>2</w:t>
      </w:r>
      <w:r w:rsidRPr="00D94D45">
        <w:rPr>
          <w:sz w:val="24"/>
          <w:szCs w:val="24"/>
          <w:lang w:val="uk-UA"/>
        </w:rPr>
        <w:t>;</w:t>
      </w:r>
    </w:p>
    <w:p w:rsidR="00D94D45" w:rsidRPr="00D94D45" w:rsidRDefault="00D94D45" w:rsidP="00D94D45">
      <w:pPr>
        <w:ind w:firstLine="709"/>
        <w:jc w:val="both"/>
        <w:rPr>
          <w:sz w:val="24"/>
          <w:szCs w:val="24"/>
          <w:lang w:val="uk-UA"/>
        </w:rPr>
      </w:pPr>
      <w:r w:rsidRPr="00D94D45">
        <w:rPr>
          <w:sz w:val="24"/>
          <w:szCs w:val="24"/>
          <w:lang w:val="uk-UA"/>
        </w:rPr>
        <w:t>-        Максимальна висота проектних будівель – 15 м;</w:t>
      </w:r>
    </w:p>
    <w:p w:rsidR="00D94D45" w:rsidRPr="00D94D45" w:rsidRDefault="00D94D45" w:rsidP="00D94D45">
      <w:pPr>
        <w:ind w:firstLine="709"/>
        <w:jc w:val="both"/>
        <w:rPr>
          <w:sz w:val="24"/>
          <w:szCs w:val="24"/>
          <w:lang w:val="uk-UA"/>
        </w:rPr>
      </w:pPr>
      <w:r w:rsidRPr="00D94D45">
        <w:rPr>
          <w:sz w:val="24"/>
          <w:szCs w:val="24"/>
          <w:lang w:val="uk-UA"/>
        </w:rPr>
        <w:t>-        Відсоток забудови земельної ділянки – 41%.</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Водопос</w:t>
      </w:r>
      <w:r w:rsidR="00F81002">
        <w:rPr>
          <w:sz w:val="24"/>
          <w:szCs w:val="24"/>
          <w:lang w:val="uk-UA"/>
        </w:rPr>
        <w:t xml:space="preserve">тачання: </w:t>
      </w:r>
      <w:r w:rsidR="00F81002" w:rsidRPr="00F81002">
        <w:rPr>
          <w:sz w:val="24"/>
          <w:szCs w:val="24"/>
          <w:lang w:val="uk-UA"/>
        </w:rPr>
        <w:t>підключення до існуючих водопровідних мереж.</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Система кан</w:t>
      </w:r>
      <w:r w:rsidR="00F81002">
        <w:rPr>
          <w:sz w:val="24"/>
          <w:szCs w:val="24"/>
          <w:lang w:val="uk-UA"/>
        </w:rPr>
        <w:t xml:space="preserve">алізації: </w:t>
      </w:r>
      <w:r w:rsidR="00F81002" w:rsidRPr="00F81002">
        <w:rPr>
          <w:sz w:val="24"/>
          <w:szCs w:val="24"/>
          <w:lang w:val="uk-UA"/>
        </w:rPr>
        <w:t>підключення до існуючих каналізаційних мереж.</w:t>
      </w:r>
      <w:r w:rsidRPr="00E60438">
        <w:rPr>
          <w:sz w:val="24"/>
          <w:szCs w:val="24"/>
          <w:lang w:val="uk-UA"/>
        </w:rPr>
        <w:t>.</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E60438">
        <w:rPr>
          <w:sz w:val="24"/>
          <w:szCs w:val="24"/>
          <w:lang w:val="uk-UA"/>
        </w:rPr>
        <w:t>правил.</w:t>
      </w:r>
    </w:p>
    <w:p w:rsidR="00E60438" w:rsidRDefault="00E60438" w:rsidP="00E60438">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r w:rsidR="00151FC3">
              <w:rPr>
                <w:sz w:val="24"/>
                <w:szCs w:val="24"/>
                <w:lang w:val="uk-UA"/>
              </w:rPr>
              <w:t>єктів</w:t>
            </w:r>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 xml:space="preserve">Для забезпечення пожежної безпеки проектом передбачається проїзди для пожежних машин до всіх будівель та споруд. Всі будівлі та споруди розміщуються з </w:t>
            </w:r>
            <w:r w:rsidRPr="00F07CB6">
              <w:rPr>
                <w:sz w:val="24"/>
                <w:szCs w:val="24"/>
                <w:lang w:val="uk-UA"/>
              </w:rPr>
              <w:lastRenderedPageBreak/>
              <w:t>дотриманням нормативних протипожежних відстаней між ними.</w:t>
            </w:r>
          </w:p>
        </w:tc>
      </w:tr>
      <w:tr w:rsidR="00663BA9" w:rsidRPr="00D94D45"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lastRenderedPageBreak/>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Характеристика поточного стану довкілля, у тому числі здоров</w:t>
      </w:r>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6"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6"/>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32122B">
        <w:rPr>
          <w:sz w:val="24"/>
          <w:szCs w:val="24"/>
          <w:lang w:val="uk-UA"/>
        </w:rPr>
        <w:t xml:space="preserve"> зоні громадської </w:t>
      </w:r>
      <w:r w:rsidR="00165B96">
        <w:rPr>
          <w:sz w:val="24"/>
          <w:szCs w:val="24"/>
          <w:lang w:val="uk-UA"/>
        </w:rPr>
        <w:t>забудови</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7"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7"/>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Пригоргансько-Передкарпатської пластово-акумулятивної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даного шару до 1,7 м. Фізико-механічні властивості даного ІГЕ: R=0,6 мПа, ρd=2,08 т/м³, Е=50 мПа.</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lastRenderedPageBreak/>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t xml:space="preserve">утвореннями. Потужність даного шару до 2,2 м. Фізико-механічні властивості даного ІГЕ: W=20 %, ρd=2,02 т/m³, e=0,58, E=20 мПа, Jp=7 %, J=29, Sr=0,89, φ =25°, С=0,008 мПа.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8"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8"/>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Місто Калуш лежить в атлантико-континентальній кліматичній області. Клімат міста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акрокліматичної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 метеорологічних явищ на території м. Калуш,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2001B8" w:rsidRPr="00D94D45" w:rsidRDefault="00C93494" w:rsidP="00D94D45">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E6333F" w:rsidRDefault="002313EB" w:rsidP="00E6333F">
      <w:pPr>
        <w:pStyle w:val="a4"/>
        <w:tabs>
          <w:tab w:val="left" w:pos="426"/>
        </w:tabs>
        <w:spacing w:line="276" w:lineRule="auto"/>
        <w:ind w:left="-567" w:right="-284" w:firstLine="709"/>
        <w:jc w:val="both"/>
        <w:rPr>
          <w:sz w:val="24"/>
          <w:szCs w:val="24"/>
        </w:rPr>
      </w:pPr>
      <w:bookmarkStart w:id="9" w:name="_Toc75701"/>
      <w:r w:rsidRPr="00F07CB6">
        <w:rPr>
          <w:sz w:val="24"/>
          <w:szCs w:val="24"/>
          <w:lang w:val="uk-UA"/>
        </w:rPr>
        <w:t>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r w:rsidR="00F97E98" w:rsidRPr="00F07CB6">
        <w:rPr>
          <w:sz w:val="24"/>
          <w:szCs w:val="24"/>
        </w:rPr>
        <w:t xml:space="preserve"> </w:t>
      </w: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D94D45" w:rsidRDefault="00D94D45" w:rsidP="00E6333F">
      <w:pPr>
        <w:pStyle w:val="a4"/>
        <w:tabs>
          <w:tab w:val="left" w:pos="426"/>
        </w:tabs>
        <w:spacing w:line="276" w:lineRule="auto"/>
        <w:ind w:left="-567" w:right="-284" w:firstLine="709"/>
        <w:jc w:val="both"/>
        <w:rPr>
          <w:sz w:val="24"/>
          <w:szCs w:val="24"/>
        </w:rPr>
      </w:pPr>
    </w:p>
    <w:p w:rsidR="002001B8" w:rsidRPr="00165B96" w:rsidRDefault="002001B8" w:rsidP="00E6333F">
      <w:pPr>
        <w:pStyle w:val="a4"/>
        <w:tabs>
          <w:tab w:val="left" w:pos="426"/>
        </w:tabs>
        <w:spacing w:line="276" w:lineRule="auto"/>
        <w:ind w:left="-567" w:right="-284" w:firstLine="709"/>
        <w:jc w:val="both"/>
        <w:rPr>
          <w:sz w:val="24"/>
          <w:szCs w:val="24"/>
        </w:rPr>
      </w:pP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lastRenderedPageBreak/>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тис.т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Викиди забруднюючих</w:t>
            </w:r>
          </w:p>
          <w:p w:rsidR="001F5464" w:rsidRDefault="001F5464" w:rsidP="001F5464">
            <w:pPr>
              <w:pStyle w:val="a4"/>
              <w:tabs>
                <w:tab w:val="left" w:pos="426"/>
              </w:tabs>
              <w:ind w:left="0" w:right="-284"/>
              <w:jc w:val="center"/>
              <w:rPr>
                <w:sz w:val="28"/>
                <w:szCs w:val="28"/>
                <w:lang w:val="uk-UA"/>
              </w:rPr>
            </w:pPr>
            <w:r>
              <w:t xml:space="preserve"> речовин –усього</w:t>
            </w:r>
          </w:p>
        </w:tc>
        <w:tc>
          <w:tcPr>
            <w:tcW w:w="6096" w:type="dxa"/>
            <w:gridSpan w:val="4"/>
          </w:tcPr>
          <w:p w:rsidR="001F5464" w:rsidRDefault="001F5464" w:rsidP="000830F5">
            <w:pPr>
              <w:pStyle w:val="a4"/>
              <w:tabs>
                <w:tab w:val="left" w:pos="426"/>
              </w:tabs>
              <w:ind w:left="0" w:right="-284"/>
              <w:jc w:val="center"/>
              <w:rPr>
                <w:sz w:val="28"/>
                <w:szCs w:val="28"/>
                <w:lang w:val="uk-UA"/>
              </w:rPr>
            </w:pPr>
            <w:r>
              <w:t>У тому числі</w:t>
            </w:r>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сірки</w:t>
            </w:r>
          </w:p>
        </w:tc>
        <w:tc>
          <w:tcPr>
            <w:tcW w:w="1560"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оксиду вуглецю</w:t>
            </w:r>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У тому числі</w:t>
            </w:r>
          </w:p>
        </w:tc>
        <w:tc>
          <w:tcPr>
            <w:tcW w:w="1418" w:type="dxa"/>
            <w:vMerge w:val="restart"/>
          </w:tcPr>
          <w:p w:rsidR="001F5464" w:rsidRDefault="001F5464" w:rsidP="001F5464">
            <w:pPr>
              <w:pStyle w:val="a4"/>
              <w:tabs>
                <w:tab w:val="left" w:pos="426"/>
              </w:tabs>
              <w:ind w:left="-108"/>
              <w:jc w:val="center"/>
              <w:rPr>
                <w:sz w:val="28"/>
                <w:szCs w:val="28"/>
                <w:lang w:val="uk-UA"/>
              </w:rPr>
            </w:pPr>
            <w:r>
              <w:t>крім того, викиди діоксиду вуглецю, тис.т</w:t>
            </w:r>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r>
              <w:t>неметанових летких органічних сполук</w:t>
            </w:r>
          </w:p>
        </w:tc>
        <w:tc>
          <w:tcPr>
            <w:tcW w:w="1560" w:type="dxa"/>
          </w:tcPr>
          <w:p w:rsidR="001F5464" w:rsidRDefault="001F5464" w:rsidP="001F5464">
            <w:pPr>
              <w:pStyle w:val="a4"/>
              <w:tabs>
                <w:tab w:val="left" w:pos="426"/>
              </w:tabs>
              <w:ind w:left="0" w:right="-108"/>
              <w:jc w:val="center"/>
            </w:pPr>
            <w:r>
              <w:t>зважених суспендованих частинок</w:t>
            </w:r>
          </w:p>
        </w:tc>
        <w:tc>
          <w:tcPr>
            <w:tcW w:w="1417" w:type="dxa"/>
          </w:tcPr>
          <w:p w:rsidR="001F5464" w:rsidRDefault="001F5464" w:rsidP="000830F5">
            <w:pPr>
              <w:pStyle w:val="a4"/>
              <w:tabs>
                <w:tab w:val="left" w:pos="426"/>
              </w:tabs>
              <w:ind w:left="0" w:right="-284"/>
              <w:jc w:val="center"/>
            </w:pPr>
            <w:r>
              <w:t>аміаку</w:t>
            </w:r>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lastRenderedPageBreak/>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10" w:name="_Toc75702"/>
      <w:bookmarkEnd w:id="9"/>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10"/>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Серед ссавців на території м. Калуш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Default="00D4504E" w:rsidP="00E6333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E6333F">
        <w:rPr>
          <w:sz w:val="24"/>
          <w:szCs w:val="24"/>
          <w:lang w:val="uk-UA"/>
        </w:rPr>
        <w:t>.</w:t>
      </w:r>
    </w:p>
    <w:p w:rsidR="002001B8" w:rsidRDefault="002001B8" w:rsidP="00E6333F">
      <w:pPr>
        <w:spacing w:line="276" w:lineRule="auto"/>
        <w:ind w:left="-567" w:right="-284" w:firstLine="709"/>
        <w:jc w:val="both"/>
        <w:rPr>
          <w:sz w:val="24"/>
          <w:szCs w:val="24"/>
          <w:lang w:val="uk-UA"/>
        </w:rPr>
      </w:pPr>
    </w:p>
    <w:p w:rsidR="002001B8" w:rsidRDefault="002001B8" w:rsidP="00E6333F">
      <w:pPr>
        <w:spacing w:line="276" w:lineRule="auto"/>
        <w:ind w:left="-567" w:right="-284" w:firstLine="709"/>
        <w:jc w:val="both"/>
        <w:rPr>
          <w:sz w:val="24"/>
          <w:szCs w:val="24"/>
          <w:lang w:val="uk-UA"/>
        </w:rPr>
      </w:pPr>
    </w:p>
    <w:p w:rsidR="002001B8" w:rsidRPr="00E6333F" w:rsidRDefault="002001B8" w:rsidP="00E6333F">
      <w:pPr>
        <w:spacing w:line="276" w:lineRule="auto"/>
        <w:ind w:left="-567" w:right="-284" w:firstLine="709"/>
        <w:jc w:val="both"/>
        <w:rPr>
          <w:sz w:val="24"/>
          <w:szCs w:val="24"/>
          <w:lang w:val="uk-UA"/>
        </w:rPr>
      </w:pP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lastRenderedPageBreak/>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гравійно-галькових річкових терас р. Лімниці та Сівки. Режим підземних вод в основному зв’язаний з режимом р. Лімниці. Встановлено, що ширина заплавної тераси річки змінюється від 0,2-0,5 м на перекатах, до 1,5-2,0 м на плесових ділянках. Береги в деяких місцях досягають висоти 0,5-2,0 м. Весною на річці Лімниця проходять паводки, що утворюються від сніготанення з дощовими опадами. Амплітуда коливання рівня води в р. Лімниця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Лімниця.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Таким чином І, ІІ тераси р. Лімниці відносяться до потенційно підтоплювальних територій з рівнем ґрунтових вод від 0,5-2 м. На ІІІ терасі рівень ґрунтових вод коливається від 3 до 7 м. IV та V надзаплавні тераси р. Лімниця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E6333F" w:rsidRPr="00E6333F" w:rsidRDefault="00662B31" w:rsidP="00E6333F">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0D59F6" w:rsidRDefault="000D59F6"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Pr="00F07CB6" w:rsidRDefault="002001B8" w:rsidP="00F07CB6">
      <w:pPr>
        <w:pStyle w:val="a4"/>
        <w:tabs>
          <w:tab w:val="left" w:pos="142"/>
        </w:tabs>
        <w:spacing w:line="276" w:lineRule="auto"/>
        <w:ind w:left="-567" w:right="-284" w:firstLine="709"/>
        <w:jc w:val="both"/>
        <w:rPr>
          <w:sz w:val="24"/>
          <w:szCs w:val="24"/>
          <w:lang w:val="uk-UA"/>
        </w:rPr>
      </w:pPr>
    </w:p>
    <w:p w:rsidR="00FE4191" w:rsidRPr="00F07CB6" w:rsidRDefault="00FE4191"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lastRenderedPageBreak/>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побутово-питні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r>
              <w:rPr>
                <w:sz w:val="24"/>
                <w:szCs w:val="24"/>
                <w:lang w:val="uk-UA"/>
              </w:rPr>
              <w:t>єкти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F07CB6" w:rsidRDefault="0002746B" w:rsidP="00E6333F">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6D040E" w:rsidRPr="00F07CB6" w:rsidRDefault="00CD6BD6" w:rsidP="00F07CB6">
      <w:pPr>
        <w:spacing w:line="276" w:lineRule="auto"/>
        <w:ind w:right="-284"/>
        <w:jc w:val="center"/>
        <w:rPr>
          <w:b/>
          <w:sz w:val="24"/>
          <w:szCs w:val="24"/>
          <w:lang w:val="uk-UA"/>
        </w:rPr>
      </w:pPr>
      <w:r w:rsidRPr="00F07CB6">
        <w:rPr>
          <w:b/>
          <w:sz w:val="24"/>
          <w:szCs w:val="24"/>
          <w:lang w:val="uk-UA"/>
        </w:rPr>
        <w:lastRenderedPageBreak/>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lastRenderedPageBreak/>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бен(а)пірен,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lastRenderedPageBreak/>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lastRenderedPageBreak/>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646BC3">
        <w:rPr>
          <w:b/>
          <w:sz w:val="24"/>
          <w:szCs w:val="24"/>
          <w:lang w:val="uk-UA"/>
        </w:rPr>
        <w:t xml:space="preserve">державному та інших рівнях </w:t>
      </w:r>
      <w:bookmarkEnd w:id="11"/>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lastRenderedPageBreak/>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бенз(а)пірен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w:t>
      </w:r>
      <w:r w:rsidR="00076618" w:rsidRPr="00646BC3">
        <w:rPr>
          <w:sz w:val="24"/>
          <w:szCs w:val="24"/>
          <w:lang w:val="uk-UA"/>
        </w:rPr>
        <w:lastRenderedPageBreak/>
        <w:t>в атмосферу речовини оксидів азоту, сірки та вуглецю, сажа, бен(а)пірен,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r>
        <w:rPr>
          <w:sz w:val="24"/>
          <w:szCs w:val="24"/>
          <w:lang w:val="uk-UA"/>
        </w:rPr>
        <w:t>єктів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9D52EE" w:rsidRPr="00646BC3" w:rsidRDefault="009D52EE" w:rsidP="00646BC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C159A7"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firstLine="204"/>
              <w:rPr>
                <w:lang w:val="uk-UA"/>
              </w:rPr>
            </w:pPr>
            <w:r w:rsidRPr="00C159A7">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Технологіч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jc w:val="center"/>
              <w:rPr>
                <w:lang w:val="uk-UA"/>
              </w:rPr>
            </w:pPr>
            <w:r w:rsidRPr="00C159A7">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Рішення по поводженню з відходами </w:t>
            </w:r>
          </w:p>
        </w:tc>
      </w:tr>
      <w:tr w:rsidR="009D52EE" w:rsidRPr="00C159A7"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9"/>
              <w:jc w:val="center"/>
              <w:rPr>
                <w:lang w:val="uk-UA"/>
              </w:rPr>
            </w:pPr>
            <w:r w:rsidRPr="00C159A7">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8"/>
              <w:jc w:val="center"/>
              <w:rPr>
                <w:lang w:val="uk-UA"/>
              </w:rPr>
            </w:pPr>
            <w:r w:rsidRPr="00C159A7">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2"/>
              <w:jc w:val="center"/>
              <w:rPr>
                <w:lang w:val="uk-UA"/>
              </w:rPr>
            </w:pPr>
            <w:r w:rsidRPr="00C159A7">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4"/>
              <w:jc w:val="center"/>
              <w:rPr>
                <w:lang w:val="uk-UA"/>
              </w:rPr>
            </w:pPr>
            <w:r w:rsidRPr="00C159A7">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3"/>
              <w:jc w:val="center"/>
              <w:rPr>
                <w:lang w:val="uk-UA"/>
              </w:rPr>
            </w:pPr>
            <w:r w:rsidRPr="00C159A7">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8"/>
              <w:jc w:val="center"/>
              <w:rPr>
                <w:lang w:val="uk-UA"/>
              </w:rPr>
            </w:pPr>
            <w:r w:rsidRPr="00C159A7">
              <w:rPr>
                <w:lang w:val="uk-UA"/>
              </w:rPr>
              <w:t xml:space="preserve">8 </w:t>
            </w:r>
          </w:p>
        </w:tc>
      </w:tr>
      <w:tr w:rsidR="009D52EE" w:rsidRPr="00C159A7" w:rsidTr="002E694E">
        <w:trPr>
          <w:trHeight w:val="165"/>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521"/>
              <w:rPr>
                <w:lang w:val="uk-UA"/>
              </w:rPr>
            </w:pPr>
            <w:r w:rsidRPr="00C159A7">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rPr>
                <w:lang w:val="uk-UA"/>
              </w:rPr>
            </w:pPr>
            <w:r w:rsidRPr="00C159A7">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7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tabs>
                <w:tab w:val="right" w:pos="2091"/>
              </w:tabs>
              <w:spacing w:after="4" w:line="259" w:lineRule="auto"/>
              <w:rPr>
                <w:lang w:val="uk-UA"/>
              </w:rPr>
            </w:pPr>
            <w:r w:rsidRPr="00C159A7">
              <w:rPr>
                <w:lang w:val="uk-UA"/>
              </w:rPr>
              <w:t xml:space="preserve">Відходи </w:t>
            </w:r>
            <w:r w:rsidRPr="00C159A7">
              <w:rPr>
                <w:lang w:val="uk-UA"/>
              </w:rPr>
              <w:tab/>
              <w:t xml:space="preserve">масел </w:t>
            </w:r>
          </w:p>
          <w:p w:rsidR="009D52EE" w:rsidRPr="00C159A7" w:rsidRDefault="009D52EE" w:rsidP="00931A47">
            <w:pPr>
              <w:spacing w:line="259" w:lineRule="auto"/>
              <w:ind w:left="8"/>
              <w:rPr>
                <w:lang w:val="uk-UA"/>
              </w:rPr>
            </w:pPr>
            <w:r w:rsidRPr="00C159A7">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30"/>
              <w:jc w:val="center"/>
              <w:rPr>
                <w:lang w:val="uk-UA"/>
              </w:rPr>
            </w:pPr>
            <w:r w:rsidRPr="00C159A7">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after="45" w:line="218" w:lineRule="auto"/>
              <w:ind w:left="8" w:right="8"/>
              <w:rPr>
                <w:lang w:val="uk-UA"/>
              </w:rPr>
            </w:pPr>
            <w:r w:rsidRPr="00C159A7">
              <w:rPr>
                <w:lang w:val="uk-UA"/>
              </w:rPr>
              <w:t xml:space="preserve">Матеріали обтиральні зіпсовані, відпрацьовані чи забруднені </w:t>
            </w:r>
          </w:p>
          <w:p w:rsidR="009D52EE" w:rsidRPr="00C159A7" w:rsidRDefault="009D52EE" w:rsidP="00931A47">
            <w:pPr>
              <w:spacing w:line="259" w:lineRule="auto"/>
              <w:ind w:left="8"/>
              <w:rPr>
                <w:lang w:val="uk-UA"/>
              </w:rPr>
            </w:pPr>
            <w:r w:rsidRPr="00C159A7">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lastRenderedPageBreak/>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8"/>
              <w:rPr>
                <w:lang w:val="uk-UA"/>
              </w:rPr>
            </w:pPr>
            <w:r w:rsidRPr="00C159A7">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2E694E">
        <w:trPr>
          <w:trHeight w:val="224"/>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15" w:hanging="14"/>
              <w:rPr>
                <w:lang w:val="uk-UA"/>
              </w:rPr>
            </w:pPr>
            <w:r w:rsidRPr="00C159A7">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Видаляється на полігон ТПВ за договором </w:t>
            </w:r>
          </w:p>
        </w:tc>
      </w:tr>
      <w:tr w:rsidR="009D52EE" w:rsidRPr="00C159A7"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50" w:firstLine="223"/>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Передається за договором спеціалізованій організації </w:t>
            </w:r>
          </w:p>
        </w:tc>
      </w:tr>
    </w:tbl>
    <w:p w:rsidR="00E6333F" w:rsidRPr="00E6333F" w:rsidRDefault="00E6333F" w:rsidP="00E6333F">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lastRenderedPageBreak/>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lastRenderedPageBreak/>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D94D45"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lastRenderedPageBreak/>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2001B8" w:rsidRPr="004D0B62" w:rsidRDefault="00A31B08" w:rsidP="004D0B62">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A31B08" w:rsidRPr="00646BC3" w:rsidRDefault="00A31B08" w:rsidP="00E6333F">
      <w:pPr>
        <w:spacing w:line="276" w:lineRule="auto"/>
        <w:ind w:right="-426"/>
        <w:rPr>
          <w:b/>
          <w:sz w:val="24"/>
          <w:szCs w:val="24"/>
          <w:lang w:val="uk-UA"/>
        </w:rPr>
      </w:pPr>
      <w:r w:rsidRPr="00646BC3">
        <w:rPr>
          <w:b/>
          <w:sz w:val="24"/>
          <w:szCs w:val="24"/>
          <w:lang w:val="uk-UA"/>
        </w:rPr>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2001B8" w:rsidRDefault="002001B8" w:rsidP="004D0B62">
      <w:pPr>
        <w:pStyle w:val="21"/>
        <w:spacing w:line="276" w:lineRule="auto"/>
        <w:ind w:left="-567" w:right="-426" w:firstLine="709"/>
        <w:jc w:val="both"/>
        <w:rPr>
          <w:sz w:val="24"/>
          <w:szCs w:val="24"/>
          <w:lang w:val="uk-UA"/>
        </w:rPr>
      </w:pPr>
      <w:r w:rsidRPr="00F07CB6">
        <w:rPr>
          <w:sz w:val="24"/>
          <w:szCs w:val="24"/>
          <w:lang w:val="uk-UA"/>
        </w:rPr>
        <w:t xml:space="preserve">В межах території детального плану </w:t>
      </w:r>
      <w:r>
        <w:rPr>
          <w:sz w:val="24"/>
          <w:szCs w:val="24"/>
          <w:lang w:val="uk-UA"/>
        </w:rPr>
        <w:t xml:space="preserve">передбачено будівництво </w:t>
      </w:r>
      <w:r w:rsidR="00D94D45" w:rsidRPr="00D94D45">
        <w:rPr>
          <w:sz w:val="24"/>
          <w:szCs w:val="24"/>
          <w:lang w:val="uk-UA"/>
        </w:rPr>
        <w:t xml:space="preserve">складських та офісних приміщень, станції технічного обслуговування ( не більше 6 постів) та виробничої будівлі </w:t>
      </w:r>
      <w:r w:rsidR="00D94D45" w:rsidRPr="00D94D45">
        <w:rPr>
          <w:color w:val="212529"/>
          <w:sz w:val="24"/>
          <w:szCs w:val="24"/>
          <w:shd w:val="clear" w:color="auto" w:fill="FFFFFF"/>
          <w:lang w:val="uk-UA"/>
        </w:rPr>
        <w:t>підприємства металообробної промисловості з   термічною обробкою без ливарень</w:t>
      </w:r>
      <w:r w:rsidR="004D0B62">
        <w:rPr>
          <w:sz w:val="24"/>
          <w:szCs w:val="24"/>
          <w:lang w:val="uk-UA"/>
        </w:rPr>
        <w:t>.</w:t>
      </w:r>
    </w:p>
    <w:p w:rsidR="002001B8" w:rsidRDefault="002001B8" w:rsidP="002001B8">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 xml:space="preserve">композиції, параметрів забудови та </w:t>
      </w:r>
      <w:r w:rsidRPr="000D100C">
        <w:rPr>
          <w:sz w:val="24"/>
          <w:szCs w:val="24"/>
          <w:lang w:val="uk-UA"/>
        </w:rPr>
        <w:lastRenderedPageBreak/>
        <w:t>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w:t>
      </w:r>
      <w:r w:rsidRPr="00646BC3">
        <w:rPr>
          <w:sz w:val="24"/>
          <w:szCs w:val="24"/>
          <w:lang w:val="uk-UA"/>
        </w:rPr>
        <w:lastRenderedPageBreak/>
        <w:t xml:space="preserve">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110796" w:rsidRPr="00646BC3" w:rsidRDefault="00A31B08" w:rsidP="004D0B62">
      <w:pPr>
        <w:spacing w:line="276" w:lineRule="auto"/>
        <w:ind w:left="-567" w:right="-426" w:firstLine="720"/>
        <w:jc w:val="both"/>
        <w:rPr>
          <w:sz w:val="24"/>
          <w:szCs w:val="24"/>
          <w:lang w:val="uk-UA"/>
        </w:rPr>
      </w:pPr>
      <w:r w:rsidRPr="00646BC3">
        <w:rPr>
          <w:sz w:val="24"/>
          <w:szCs w:val="24"/>
          <w:lang w:val="uk-UA"/>
        </w:rPr>
        <w:t>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Марушевський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4D0B62" w:rsidRDefault="00A31B08" w:rsidP="00A31B08">
      <w:pPr>
        <w:spacing w:after="166" w:line="276" w:lineRule="auto"/>
        <w:ind w:left="-567" w:right="-426"/>
        <w:rPr>
          <w:sz w:val="24"/>
          <w:szCs w:val="24"/>
          <w:lang w:val="uk-UA"/>
        </w:rPr>
      </w:pPr>
      <w:r w:rsidRPr="00A31B08">
        <w:rPr>
          <w:sz w:val="28"/>
          <w:szCs w:val="28"/>
          <w:lang w:val="uk-UA"/>
        </w:rPr>
        <w:t xml:space="preserve"> </w:t>
      </w:r>
      <w:r w:rsidRPr="004D0B62">
        <w:rPr>
          <w:sz w:val="24"/>
          <w:szCs w:val="24"/>
          <w:lang w:val="uk-UA"/>
        </w:rPr>
        <w:t>Виконавці:</w:t>
      </w:r>
    </w:p>
    <w:p w:rsidR="00A31B08" w:rsidRPr="004D0B62" w:rsidRDefault="00314C41" w:rsidP="00A31B08">
      <w:pPr>
        <w:spacing w:line="276" w:lineRule="auto"/>
        <w:ind w:left="-567" w:right="-426"/>
        <w:rPr>
          <w:sz w:val="24"/>
          <w:szCs w:val="24"/>
          <w:lang w:val="uk-UA"/>
        </w:rPr>
      </w:pPr>
      <w:r w:rsidRPr="004D0B62">
        <w:rPr>
          <w:sz w:val="24"/>
          <w:szCs w:val="24"/>
          <w:lang w:val="uk-UA"/>
        </w:rPr>
        <w:t>ФОП                                                                                                                    Русин В.Б</w:t>
      </w:r>
    </w:p>
    <w:p w:rsidR="00314C41" w:rsidRPr="004D0B62" w:rsidRDefault="00314C41" w:rsidP="00A31B08">
      <w:pPr>
        <w:spacing w:line="276" w:lineRule="auto"/>
        <w:ind w:left="-567" w:right="-426"/>
        <w:rPr>
          <w:b/>
          <w:sz w:val="24"/>
          <w:szCs w:val="24"/>
          <w:lang w:val="uk-UA"/>
        </w:rPr>
      </w:pPr>
      <w:r w:rsidRPr="004D0B62">
        <w:rPr>
          <w:sz w:val="24"/>
          <w:szCs w:val="24"/>
          <w:lang w:val="uk-UA"/>
        </w:rPr>
        <w:t>ГАП                                                                                                                     Русин В.Б.</w:t>
      </w:r>
    </w:p>
    <w:p w:rsidR="00A31B08" w:rsidRPr="004D0B62" w:rsidRDefault="00A31B08" w:rsidP="00A31B08">
      <w:pPr>
        <w:spacing w:line="276" w:lineRule="auto"/>
        <w:ind w:left="-567" w:right="-426"/>
        <w:jc w:val="both"/>
        <w:rPr>
          <w:rFonts w:ascii="Century Gothic" w:hAnsi="Century Gothic"/>
          <w:b/>
          <w:sz w:val="24"/>
          <w:szCs w:val="24"/>
          <w:lang w:val="uk-UA" w:eastAsia="uk-UA"/>
        </w:rPr>
      </w:pPr>
    </w:p>
    <w:sectPr w:rsidR="00A31B08" w:rsidRPr="004D0B62"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D2A" w:rsidRDefault="006F7D2A" w:rsidP="002464B4">
      <w:r>
        <w:separator/>
      </w:r>
    </w:p>
  </w:endnote>
  <w:endnote w:type="continuationSeparator" w:id="0">
    <w:p w:rsidR="006F7D2A" w:rsidRDefault="006F7D2A"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Content>
      <w:p w:rsidR="00D94D45" w:rsidRDefault="00D94D45">
        <w:pPr>
          <w:pStyle w:val="a7"/>
          <w:jc w:val="center"/>
        </w:pPr>
        <w:r>
          <w:fldChar w:fldCharType="begin"/>
        </w:r>
        <w:r>
          <w:instrText>PAGE   \* MERGEFORMAT</w:instrText>
        </w:r>
        <w:r>
          <w:fldChar w:fldCharType="separate"/>
        </w:r>
        <w:r w:rsidR="004D0B62">
          <w:rPr>
            <w:noProof/>
          </w:rPr>
          <w:t>2</w:t>
        </w:r>
        <w:r>
          <w:fldChar w:fldCharType="end"/>
        </w:r>
      </w:p>
    </w:sdtContent>
  </w:sdt>
  <w:p w:rsidR="00D94D45" w:rsidRDefault="00D94D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D2A" w:rsidRDefault="006F7D2A" w:rsidP="002464B4">
      <w:r>
        <w:separator/>
      </w:r>
    </w:p>
  </w:footnote>
  <w:footnote w:type="continuationSeparator" w:id="0">
    <w:p w:rsidR="006F7D2A" w:rsidRDefault="006F7D2A"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110796"/>
    <w:rsid w:val="00125322"/>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3E23"/>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5F75"/>
    <w:rsid w:val="00310EA5"/>
    <w:rsid w:val="00314C41"/>
    <w:rsid w:val="0032122B"/>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2228B"/>
    <w:rsid w:val="00424864"/>
    <w:rsid w:val="004338FA"/>
    <w:rsid w:val="00476F3F"/>
    <w:rsid w:val="004A053A"/>
    <w:rsid w:val="004B1731"/>
    <w:rsid w:val="004D071F"/>
    <w:rsid w:val="004D0B62"/>
    <w:rsid w:val="004E5305"/>
    <w:rsid w:val="00503715"/>
    <w:rsid w:val="00524238"/>
    <w:rsid w:val="00534E21"/>
    <w:rsid w:val="00536998"/>
    <w:rsid w:val="0055577C"/>
    <w:rsid w:val="005563B1"/>
    <w:rsid w:val="00570EF5"/>
    <w:rsid w:val="00576A35"/>
    <w:rsid w:val="00585687"/>
    <w:rsid w:val="005862C8"/>
    <w:rsid w:val="00594BE3"/>
    <w:rsid w:val="005F5F65"/>
    <w:rsid w:val="006232C1"/>
    <w:rsid w:val="006277D5"/>
    <w:rsid w:val="00640322"/>
    <w:rsid w:val="00646BC3"/>
    <w:rsid w:val="00646E4E"/>
    <w:rsid w:val="00662B31"/>
    <w:rsid w:val="00663BA9"/>
    <w:rsid w:val="0066632F"/>
    <w:rsid w:val="00666A95"/>
    <w:rsid w:val="00675033"/>
    <w:rsid w:val="006D040E"/>
    <w:rsid w:val="006D6320"/>
    <w:rsid w:val="006F25A8"/>
    <w:rsid w:val="006F7D2A"/>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6623"/>
    <w:rsid w:val="008366FE"/>
    <w:rsid w:val="00845988"/>
    <w:rsid w:val="008E2CEF"/>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C1520"/>
    <w:rsid w:val="00AC19D6"/>
    <w:rsid w:val="00AD28BF"/>
    <w:rsid w:val="00AD6DF9"/>
    <w:rsid w:val="00AE110C"/>
    <w:rsid w:val="00AF16CF"/>
    <w:rsid w:val="00AF6ED0"/>
    <w:rsid w:val="00B119A6"/>
    <w:rsid w:val="00B2522E"/>
    <w:rsid w:val="00B333E6"/>
    <w:rsid w:val="00B46072"/>
    <w:rsid w:val="00B5680C"/>
    <w:rsid w:val="00B62F1C"/>
    <w:rsid w:val="00BA54DE"/>
    <w:rsid w:val="00BD5308"/>
    <w:rsid w:val="00C159A7"/>
    <w:rsid w:val="00C16BC3"/>
    <w:rsid w:val="00C30691"/>
    <w:rsid w:val="00C36321"/>
    <w:rsid w:val="00C43692"/>
    <w:rsid w:val="00C76F33"/>
    <w:rsid w:val="00C93494"/>
    <w:rsid w:val="00C979DC"/>
    <w:rsid w:val="00CB0410"/>
    <w:rsid w:val="00CC4D26"/>
    <w:rsid w:val="00CD6BD6"/>
    <w:rsid w:val="00CE1E9B"/>
    <w:rsid w:val="00D11DC3"/>
    <w:rsid w:val="00D172CE"/>
    <w:rsid w:val="00D25849"/>
    <w:rsid w:val="00D4504E"/>
    <w:rsid w:val="00D81E26"/>
    <w:rsid w:val="00D94D45"/>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5717"/>
    <w:rsid w:val="00F330DA"/>
    <w:rsid w:val="00F623E9"/>
    <w:rsid w:val="00F72EA1"/>
    <w:rsid w:val="00F74020"/>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9A18-E8D4-4C12-8C72-3EE7D72A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9950</Words>
  <Characters>56721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2</cp:revision>
  <cp:lastPrinted>2021-02-26T19:10:00Z</cp:lastPrinted>
  <dcterms:created xsi:type="dcterms:W3CDTF">2021-08-04T20:14:00Z</dcterms:created>
  <dcterms:modified xsi:type="dcterms:W3CDTF">2021-08-04T20:14:00Z</dcterms:modified>
</cp:coreProperties>
</file>